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DB55F" w14:textId="11027ED4" w:rsidR="00D85811" w:rsidRPr="004F156F" w:rsidRDefault="00D85811" w:rsidP="003677D7">
      <w:pPr>
        <w:ind w:left="-432" w:right="-432"/>
        <w:jc w:val="center"/>
        <w:rPr>
          <w:rFonts w:asciiTheme="minorHAnsi" w:hAnsiTheme="minorHAnsi" w:cstheme="minorHAnsi"/>
          <w:b/>
          <w:u w:val="single"/>
        </w:rPr>
      </w:pPr>
      <w:r w:rsidRPr="004F156F">
        <w:rPr>
          <w:rFonts w:asciiTheme="minorHAnsi" w:hAnsiTheme="minorHAnsi" w:cstheme="minorHAnsi"/>
          <w:b/>
          <w:u w:val="single"/>
        </w:rPr>
        <w:t xml:space="preserve">MOSES Board of Directors, </w:t>
      </w:r>
      <w:r w:rsidR="00585F65">
        <w:rPr>
          <w:rFonts w:asciiTheme="minorHAnsi" w:hAnsiTheme="minorHAnsi" w:cstheme="minorHAnsi"/>
          <w:b/>
          <w:u w:val="single"/>
        </w:rPr>
        <w:t>February</w:t>
      </w:r>
      <w:r w:rsidR="00C151C4">
        <w:rPr>
          <w:rFonts w:asciiTheme="minorHAnsi" w:hAnsiTheme="minorHAnsi" w:cstheme="minorHAnsi"/>
          <w:b/>
          <w:u w:val="single"/>
        </w:rPr>
        <w:t xml:space="preserve"> </w:t>
      </w:r>
      <w:r w:rsidRPr="004F156F">
        <w:rPr>
          <w:rFonts w:asciiTheme="minorHAnsi" w:hAnsiTheme="minorHAnsi" w:cstheme="minorHAnsi"/>
          <w:b/>
          <w:u w:val="single"/>
        </w:rPr>
        <w:t>Meeting: Legislative Update</w:t>
      </w:r>
    </w:p>
    <w:p w14:paraId="5163EE6E" w14:textId="170A4F3E" w:rsidR="00D85811" w:rsidRPr="004F156F" w:rsidRDefault="00D85811" w:rsidP="003677D7">
      <w:pPr>
        <w:ind w:left="-432" w:right="-432"/>
        <w:jc w:val="center"/>
        <w:rPr>
          <w:rFonts w:asciiTheme="minorHAnsi" w:hAnsiTheme="minorHAnsi" w:cstheme="minorHAnsi"/>
        </w:rPr>
      </w:pPr>
      <w:r w:rsidRPr="004F156F">
        <w:rPr>
          <w:rFonts w:asciiTheme="minorHAnsi" w:hAnsiTheme="minorHAnsi" w:cstheme="minorHAnsi"/>
        </w:rPr>
        <w:t xml:space="preserve">Tuesday, </w:t>
      </w:r>
      <w:r w:rsidR="00585F65">
        <w:rPr>
          <w:rFonts w:asciiTheme="minorHAnsi" w:hAnsiTheme="minorHAnsi" w:cstheme="minorHAnsi"/>
        </w:rPr>
        <w:t>February</w:t>
      </w:r>
      <w:r w:rsidR="00264B6B">
        <w:rPr>
          <w:rFonts w:asciiTheme="minorHAnsi" w:hAnsiTheme="minorHAnsi" w:cstheme="minorHAnsi"/>
        </w:rPr>
        <w:t xml:space="preserve"> </w:t>
      </w:r>
      <w:r w:rsidR="00585F65">
        <w:rPr>
          <w:rFonts w:asciiTheme="minorHAnsi" w:hAnsiTheme="minorHAnsi" w:cstheme="minorHAnsi"/>
        </w:rPr>
        <w:t>8</w:t>
      </w:r>
      <w:r w:rsidR="004F156F" w:rsidRPr="004F156F">
        <w:rPr>
          <w:rFonts w:asciiTheme="minorHAnsi" w:hAnsiTheme="minorHAnsi" w:cstheme="minorHAnsi"/>
        </w:rPr>
        <w:t>,</w:t>
      </w:r>
      <w:r w:rsidRPr="004F156F">
        <w:rPr>
          <w:rFonts w:asciiTheme="minorHAnsi" w:hAnsiTheme="minorHAnsi" w:cstheme="minorHAnsi"/>
        </w:rPr>
        <w:t xml:space="preserve"> 202</w:t>
      </w:r>
      <w:r w:rsidR="0084522F">
        <w:rPr>
          <w:rFonts w:asciiTheme="minorHAnsi" w:hAnsiTheme="minorHAnsi" w:cstheme="minorHAnsi"/>
        </w:rPr>
        <w:t>2</w:t>
      </w:r>
    </w:p>
    <w:p w14:paraId="1C5D3ED1" w14:textId="77777777" w:rsidR="00D85811" w:rsidRPr="004F156F" w:rsidRDefault="00D85811" w:rsidP="003677D7">
      <w:pPr>
        <w:ind w:left="-432" w:right="-432"/>
        <w:jc w:val="center"/>
        <w:rPr>
          <w:rFonts w:asciiTheme="minorHAnsi" w:hAnsiTheme="minorHAnsi" w:cstheme="minorHAnsi"/>
          <w:i/>
        </w:rPr>
      </w:pPr>
      <w:r w:rsidRPr="004F156F">
        <w:rPr>
          <w:rFonts w:asciiTheme="minorHAnsi" w:hAnsiTheme="minorHAnsi" w:cstheme="minorHAnsi"/>
          <w:i/>
        </w:rPr>
        <w:t>Provided by Steven Smalley, Legislative Director</w:t>
      </w:r>
    </w:p>
    <w:p w14:paraId="68CBDA3E" w14:textId="37ADDB62" w:rsidR="005D519C" w:rsidRPr="004F156F" w:rsidRDefault="005D519C" w:rsidP="003677D7">
      <w:pPr>
        <w:ind w:left="-432" w:right="-432"/>
        <w:rPr>
          <w:rFonts w:asciiTheme="minorHAnsi" w:hAnsiTheme="minorHAnsi" w:cstheme="minorHAnsi"/>
        </w:rPr>
      </w:pPr>
    </w:p>
    <w:p w14:paraId="6ABDE42E" w14:textId="77777777" w:rsidR="0051007A" w:rsidRDefault="0051007A" w:rsidP="0051007A">
      <w:pPr>
        <w:pStyle w:val="NormalWeb"/>
        <w:spacing w:line="0" w:lineRule="atLeast"/>
        <w:ind w:left="-432" w:right="-432"/>
        <w:rPr>
          <w:rFonts w:asciiTheme="minorHAnsi" w:hAnsiTheme="minorHAnsi" w:cstheme="minorHAnsi"/>
          <w:b/>
          <w:bCs/>
          <w:u w:val="single"/>
        </w:rPr>
      </w:pPr>
      <w:r w:rsidRPr="0051007A">
        <w:rPr>
          <w:rFonts w:asciiTheme="minorHAnsi" w:hAnsiTheme="minorHAnsi" w:cstheme="minorHAnsi"/>
          <w:b/>
          <w:bCs/>
          <w:u w:val="single"/>
        </w:rPr>
        <w:t>Tax Revenue Update</w:t>
      </w:r>
    </w:p>
    <w:p w14:paraId="1CC12F27" w14:textId="6B817C4E" w:rsidR="0008400D" w:rsidRPr="004B6080" w:rsidRDefault="0051007A" w:rsidP="0008400D">
      <w:pPr>
        <w:pStyle w:val="NormalWeb"/>
        <w:spacing w:line="0" w:lineRule="atLeast"/>
        <w:ind w:left="-432" w:right="-432"/>
        <w:rPr>
          <w:rFonts w:asciiTheme="minorHAnsi" w:hAnsiTheme="minorHAnsi" w:cstheme="minorHAnsi"/>
        </w:rPr>
      </w:pPr>
      <w:r w:rsidRPr="004B6080">
        <w:rPr>
          <w:rFonts w:asciiTheme="minorHAnsi" w:hAnsiTheme="minorHAnsi" w:cstheme="minorHAnsi"/>
        </w:rPr>
        <w:t>Massachusetts</w:t>
      </w:r>
      <w:r w:rsidR="00693FA2" w:rsidRPr="004B6080">
        <w:rPr>
          <w:rFonts w:asciiTheme="minorHAnsi" w:hAnsiTheme="minorHAnsi" w:cstheme="minorHAnsi"/>
        </w:rPr>
        <w:t xml:space="preserve"> </w:t>
      </w:r>
      <w:r w:rsidR="00264B6B" w:rsidRPr="004B6080">
        <w:rPr>
          <w:rFonts w:asciiTheme="minorHAnsi" w:hAnsiTheme="minorHAnsi" w:cstheme="minorHAnsi"/>
        </w:rPr>
        <w:t>collected $</w:t>
      </w:r>
      <w:r w:rsidR="0060766E" w:rsidRPr="004B6080">
        <w:rPr>
          <w:rFonts w:asciiTheme="minorHAnsi" w:hAnsiTheme="minorHAnsi" w:cstheme="minorHAnsi"/>
        </w:rPr>
        <w:t>4.</w:t>
      </w:r>
      <w:r w:rsidR="004B6080" w:rsidRPr="004B6080">
        <w:rPr>
          <w:rFonts w:asciiTheme="minorHAnsi" w:hAnsiTheme="minorHAnsi" w:cstheme="minorHAnsi"/>
        </w:rPr>
        <w:t>026</w:t>
      </w:r>
      <w:r w:rsidR="00264B6B" w:rsidRPr="004B6080">
        <w:rPr>
          <w:rFonts w:asciiTheme="minorHAnsi" w:hAnsiTheme="minorHAnsi" w:cstheme="minorHAnsi"/>
        </w:rPr>
        <w:t xml:space="preserve"> billion for the month of </w:t>
      </w:r>
      <w:r w:rsidR="004B6080" w:rsidRPr="004B6080">
        <w:rPr>
          <w:rFonts w:asciiTheme="minorHAnsi" w:hAnsiTheme="minorHAnsi" w:cstheme="minorHAnsi"/>
        </w:rPr>
        <w:t>January,</w:t>
      </w:r>
      <w:r w:rsidR="00264B6B" w:rsidRPr="004B6080">
        <w:rPr>
          <w:rFonts w:asciiTheme="minorHAnsi" w:hAnsiTheme="minorHAnsi" w:cstheme="minorHAnsi"/>
        </w:rPr>
        <w:t xml:space="preserve"> which is $</w:t>
      </w:r>
      <w:r w:rsidR="004B6080" w:rsidRPr="004B6080">
        <w:rPr>
          <w:rFonts w:asciiTheme="minorHAnsi" w:hAnsiTheme="minorHAnsi" w:cstheme="minorHAnsi"/>
        </w:rPr>
        <w:t>679 million</w:t>
      </w:r>
      <w:r w:rsidR="00264B6B" w:rsidRPr="004B6080">
        <w:rPr>
          <w:rFonts w:asciiTheme="minorHAnsi" w:hAnsiTheme="minorHAnsi" w:cstheme="minorHAnsi"/>
        </w:rPr>
        <w:t xml:space="preserve"> more than actual collections in </w:t>
      </w:r>
      <w:r w:rsidR="004B6080" w:rsidRPr="004B6080">
        <w:rPr>
          <w:rFonts w:asciiTheme="minorHAnsi" w:hAnsiTheme="minorHAnsi" w:cstheme="minorHAnsi"/>
        </w:rPr>
        <w:t xml:space="preserve">January </w:t>
      </w:r>
      <w:r w:rsidR="00264B6B" w:rsidRPr="004B6080">
        <w:rPr>
          <w:rFonts w:asciiTheme="minorHAnsi" w:hAnsiTheme="minorHAnsi" w:cstheme="minorHAnsi"/>
        </w:rPr>
        <w:t>of 202</w:t>
      </w:r>
      <w:r w:rsidR="004B6080" w:rsidRPr="004B6080">
        <w:rPr>
          <w:rFonts w:asciiTheme="minorHAnsi" w:hAnsiTheme="minorHAnsi" w:cstheme="minorHAnsi"/>
        </w:rPr>
        <w:t>1</w:t>
      </w:r>
      <w:r w:rsidR="00264B6B" w:rsidRPr="004B6080">
        <w:rPr>
          <w:rFonts w:asciiTheme="minorHAnsi" w:hAnsiTheme="minorHAnsi" w:cstheme="minorHAnsi"/>
        </w:rPr>
        <w:t xml:space="preserve"> and $</w:t>
      </w:r>
      <w:r w:rsidR="004B6080" w:rsidRPr="004B6080">
        <w:rPr>
          <w:rFonts w:asciiTheme="minorHAnsi" w:hAnsiTheme="minorHAnsi" w:cstheme="minorHAnsi"/>
        </w:rPr>
        <w:t>856 million</w:t>
      </w:r>
      <w:r w:rsidR="00264B6B" w:rsidRPr="004B6080">
        <w:rPr>
          <w:rFonts w:asciiTheme="minorHAnsi" w:hAnsiTheme="minorHAnsi" w:cstheme="minorHAnsi"/>
        </w:rPr>
        <w:t xml:space="preserve"> more than benchmark. </w:t>
      </w:r>
      <w:r w:rsidR="0008400D" w:rsidRPr="004B6080">
        <w:rPr>
          <w:rFonts w:asciiTheme="minorHAnsi" w:hAnsiTheme="minorHAnsi" w:cstheme="minorHAnsi"/>
        </w:rPr>
        <w:t xml:space="preserve">The increase in collections is due in part to the </w:t>
      </w:r>
      <w:r w:rsidR="00DA28E5" w:rsidRPr="004B6080">
        <w:rPr>
          <w:rFonts w:asciiTheme="minorHAnsi" w:hAnsiTheme="minorHAnsi" w:cstheme="minorHAnsi"/>
        </w:rPr>
        <w:t>recently enacted</w:t>
      </w:r>
      <w:r w:rsidR="0008400D" w:rsidRPr="004B6080">
        <w:rPr>
          <w:rFonts w:asciiTheme="minorHAnsi" w:hAnsiTheme="minorHAnsi" w:cstheme="minorHAnsi"/>
        </w:rPr>
        <w:t xml:space="preserve"> elective pass-through entity (PTE) excise, which allows members of a PTE to avoid the federal limit on the deduction for state and local taxes by electing to pay tax on the PTE’s income at the entity-level, and then claim a credit equal to 90% of the PTE excise paid. In the coming months, PTE members who also paid estimated taxes themselves on PTE income will receive refunds due to the credits offsetting 90% of the PTE excise payments. As a result, most of the increase in collections associated with the PTE excise is temporary. After adjusting for PTE excise payments, DOR had </w:t>
      </w:r>
      <w:r w:rsidR="004B6080" w:rsidRPr="004B6080">
        <w:rPr>
          <w:rFonts w:asciiTheme="minorHAnsi" w:hAnsiTheme="minorHAnsi" w:cstheme="minorHAnsi"/>
        </w:rPr>
        <w:t>January</w:t>
      </w:r>
      <w:r w:rsidR="0008400D" w:rsidRPr="004B6080">
        <w:rPr>
          <w:rFonts w:asciiTheme="minorHAnsi" w:hAnsiTheme="minorHAnsi" w:cstheme="minorHAnsi"/>
        </w:rPr>
        <w:t xml:space="preserve"> 202</w:t>
      </w:r>
      <w:r w:rsidR="004B6080" w:rsidRPr="004B6080">
        <w:rPr>
          <w:rFonts w:asciiTheme="minorHAnsi" w:hAnsiTheme="minorHAnsi" w:cstheme="minorHAnsi"/>
        </w:rPr>
        <w:t>2</w:t>
      </w:r>
      <w:r w:rsidR="0008400D" w:rsidRPr="004B6080">
        <w:rPr>
          <w:rFonts w:asciiTheme="minorHAnsi" w:hAnsiTheme="minorHAnsi" w:cstheme="minorHAnsi"/>
        </w:rPr>
        <w:t xml:space="preserve"> collections at $</w:t>
      </w:r>
      <w:r w:rsidR="004B6080" w:rsidRPr="004B6080">
        <w:rPr>
          <w:rFonts w:asciiTheme="minorHAnsi" w:hAnsiTheme="minorHAnsi" w:cstheme="minorHAnsi"/>
        </w:rPr>
        <w:t>315</w:t>
      </w:r>
      <w:r w:rsidR="0008400D" w:rsidRPr="004B6080">
        <w:rPr>
          <w:rFonts w:asciiTheme="minorHAnsi" w:hAnsiTheme="minorHAnsi" w:cstheme="minorHAnsi"/>
        </w:rPr>
        <w:t xml:space="preserve"> million or </w:t>
      </w:r>
      <w:r w:rsidR="004B6080" w:rsidRPr="004B6080">
        <w:rPr>
          <w:rFonts w:asciiTheme="minorHAnsi" w:hAnsiTheme="minorHAnsi" w:cstheme="minorHAnsi"/>
        </w:rPr>
        <w:t>9.4</w:t>
      </w:r>
      <w:r w:rsidR="0008400D" w:rsidRPr="004B6080">
        <w:rPr>
          <w:rFonts w:asciiTheme="minorHAnsi" w:hAnsiTheme="minorHAnsi" w:cstheme="minorHAnsi"/>
        </w:rPr>
        <w:t xml:space="preserve">% above actual collections in </w:t>
      </w:r>
      <w:r w:rsidR="004B6080" w:rsidRPr="004B6080">
        <w:rPr>
          <w:rFonts w:asciiTheme="minorHAnsi" w:hAnsiTheme="minorHAnsi" w:cstheme="minorHAnsi"/>
        </w:rPr>
        <w:t xml:space="preserve">January </w:t>
      </w:r>
      <w:r w:rsidR="0008400D" w:rsidRPr="004B6080">
        <w:rPr>
          <w:rFonts w:asciiTheme="minorHAnsi" w:hAnsiTheme="minorHAnsi" w:cstheme="minorHAnsi"/>
        </w:rPr>
        <w:t>202</w:t>
      </w:r>
      <w:r w:rsidR="004B6080" w:rsidRPr="004B6080">
        <w:rPr>
          <w:rFonts w:asciiTheme="minorHAnsi" w:hAnsiTheme="minorHAnsi" w:cstheme="minorHAnsi"/>
        </w:rPr>
        <w:t>1</w:t>
      </w:r>
      <w:r w:rsidR="0008400D" w:rsidRPr="004B6080">
        <w:rPr>
          <w:rFonts w:asciiTheme="minorHAnsi" w:hAnsiTheme="minorHAnsi" w:cstheme="minorHAnsi"/>
        </w:rPr>
        <w:t>, and $</w:t>
      </w:r>
      <w:r w:rsidR="004B6080" w:rsidRPr="004B6080">
        <w:rPr>
          <w:rFonts w:asciiTheme="minorHAnsi" w:hAnsiTheme="minorHAnsi" w:cstheme="minorHAnsi"/>
        </w:rPr>
        <w:t>791</w:t>
      </w:r>
      <w:r w:rsidR="0008400D" w:rsidRPr="004B6080">
        <w:rPr>
          <w:rFonts w:asciiTheme="minorHAnsi" w:hAnsiTheme="minorHAnsi" w:cstheme="minorHAnsi"/>
        </w:rPr>
        <w:t xml:space="preserve"> million or 2</w:t>
      </w:r>
      <w:r w:rsidR="004B6080" w:rsidRPr="004B6080">
        <w:rPr>
          <w:rFonts w:asciiTheme="minorHAnsi" w:hAnsiTheme="minorHAnsi" w:cstheme="minorHAnsi"/>
        </w:rPr>
        <w:t>7</w:t>
      </w:r>
      <w:r w:rsidR="0008400D" w:rsidRPr="004B6080">
        <w:rPr>
          <w:rFonts w:asciiTheme="minorHAnsi" w:hAnsiTheme="minorHAnsi" w:cstheme="minorHAnsi"/>
        </w:rPr>
        <w:t>.</w:t>
      </w:r>
      <w:r w:rsidR="004B6080" w:rsidRPr="004B6080">
        <w:rPr>
          <w:rFonts w:asciiTheme="minorHAnsi" w:hAnsiTheme="minorHAnsi" w:cstheme="minorHAnsi"/>
        </w:rPr>
        <w:t>5</w:t>
      </w:r>
      <w:r w:rsidR="0008400D" w:rsidRPr="004B6080">
        <w:rPr>
          <w:rFonts w:asciiTheme="minorHAnsi" w:hAnsiTheme="minorHAnsi" w:cstheme="minorHAnsi"/>
        </w:rPr>
        <w:t>% more than the benchmark.</w:t>
      </w:r>
    </w:p>
    <w:p w14:paraId="6D95FE52" w14:textId="67F36AC2" w:rsidR="00264B6B" w:rsidRPr="004B6080" w:rsidRDefault="00264B6B" w:rsidP="0008400D">
      <w:pPr>
        <w:pStyle w:val="NormalWeb"/>
        <w:spacing w:line="0" w:lineRule="atLeast"/>
        <w:ind w:left="-432" w:right="-432"/>
        <w:rPr>
          <w:rFonts w:asciiTheme="minorHAnsi" w:hAnsiTheme="minorHAnsi" w:cstheme="minorHAnsi"/>
        </w:rPr>
      </w:pPr>
      <w:r w:rsidRPr="004B6080">
        <w:rPr>
          <w:rFonts w:asciiTheme="minorHAnsi" w:hAnsiTheme="minorHAnsi" w:cstheme="minorHAnsi"/>
        </w:rPr>
        <w:t>FY2022 year to date collections are approximately $</w:t>
      </w:r>
      <w:r w:rsidR="004B6080" w:rsidRPr="004B6080">
        <w:rPr>
          <w:rFonts w:asciiTheme="minorHAnsi" w:hAnsiTheme="minorHAnsi" w:cstheme="minorHAnsi"/>
        </w:rPr>
        <w:t>21.872</w:t>
      </w:r>
      <w:r w:rsidRPr="004B6080">
        <w:rPr>
          <w:rFonts w:asciiTheme="minorHAnsi" w:hAnsiTheme="minorHAnsi" w:cstheme="minorHAnsi"/>
        </w:rPr>
        <w:t xml:space="preserve"> billion, which is $</w:t>
      </w:r>
      <w:r w:rsidR="004B6080" w:rsidRPr="004B6080">
        <w:rPr>
          <w:rFonts w:asciiTheme="minorHAnsi" w:hAnsiTheme="minorHAnsi" w:cstheme="minorHAnsi"/>
        </w:rPr>
        <w:t>4.219</w:t>
      </w:r>
      <w:r w:rsidR="00D9130A" w:rsidRPr="004B6080">
        <w:rPr>
          <w:rFonts w:asciiTheme="minorHAnsi" w:hAnsiTheme="minorHAnsi" w:cstheme="minorHAnsi"/>
        </w:rPr>
        <w:t xml:space="preserve"> billion</w:t>
      </w:r>
      <w:r w:rsidR="00693FA2" w:rsidRPr="004B6080">
        <w:rPr>
          <w:rFonts w:asciiTheme="minorHAnsi" w:hAnsiTheme="minorHAnsi" w:cstheme="minorHAnsi"/>
        </w:rPr>
        <w:t xml:space="preserve"> </w:t>
      </w:r>
      <w:r w:rsidRPr="004B6080">
        <w:rPr>
          <w:rFonts w:asciiTheme="minorHAnsi" w:hAnsiTheme="minorHAnsi" w:cstheme="minorHAnsi"/>
        </w:rPr>
        <w:t xml:space="preserve">or </w:t>
      </w:r>
      <w:r w:rsidR="004B6080" w:rsidRPr="004B6080">
        <w:rPr>
          <w:rFonts w:asciiTheme="minorHAnsi" w:hAnsiTheme="minorHAnsi" w:cstheme="minorHAnsi"/>
        </w:rPr>
        <w:t>23.9</w:t>
      </w:r>
      <w:r w:rsidR="003C1A37" w:rsidRPr="004B6080">
        <w:rPr>
          <w:rFonts w:asciiTheme="minorHAnsi" w:hAnsiTheme="minorHAnsi" w:cstheme="minorHAnsi"/>
        </w:rPr>
        <w:t xml:space="preserve"> </w:t>
      </w:r>
      <w:r w:rsidRPr="004B6080">
        <w:rPr>
          <w:rFonts w:asciiTheme="minorHAnsi" w:hAnsiTheme="minorHAnsi" w:cstheme="minorHAnsi"/>
        </w:rPr>
        <w:t>% more than the same period in FY2021</w:t>
      </w:r>
      <w:r w:rsidR="001C2E53" w:rsidRPr="004B6080">
        <w:rPr>
          <w:rFonts w:asciiTheme="minorHAnsi" w:hAnsiTheme="minorHAnsi" w:cstheme="minorHAnsi"/>
        </w:rPr>
        <w:t xml:space="preserve"> and $</w:t>
      </w:r>
      <w:r w:rsidR="003C1A37" w:rsidRPr="004B6080">
        <w:rPr>
          <w:rFonts w:asciiTheme="minorHAnsi" w:hAnsiTheme="minorHAnsi" w:cstheme="minorHAnsi"/>
        </w:rPr>
        <w:t>1.</w:t>
      </w:r>
      <w:r w:rsidR="004B6080" w:rsidRPr="004B6080">
        <w:rPr>
          <w:rFonts w:asciiTheme="minorHAnsi" w:hAnsiTheme="minorHAnsi" w:cstheme="minorHAnsi"/>
        </w:rPr>
        <w:t>450</w:t>
      </w:r>
      <w:r w:rsidR="001C2E53" w:rsidRPr="004B6080">
        <w:rPr>
          <w:rFonts w:asciiTheme="minorHAnsi" w:hAnsiTheme="minorHAnsi" w:cstheme="minorHAnsi"/>
        </w:rPr>
        <w:t xml:space="preserve"> </w:t>
      </w:r>
      <w:r w:rsidR="003C1A37" w:rsidRPr="004B6080">
        <w:rPr>
          <w:rFonts w:asciiTheme="minorHAnsi" w:hAnsiTheme="minorHAnsi" w:cstheme="minorHAnsi"/>
        </w:rPr>
        <w:t>b</w:t>
      </w:r>
      <w:r w:rsidR="001C2E53" w:rsidRPr="004B6080">
        <w:rPr>
          <w:rFonts w:asciiTheme="minorHAnsi" w:hAnsiTheme="minorHAnsi" w:cstheme="minorHAnsi"/>
        </w:rPr>
        <w:t>illion more than benchmark</w:t>
      </w:r>
      <w:r w:rsidRPr="004B6080">
        <w:rPr>
          <w:rFonts w:asciiTheme="minorHAnsi" w:hAnsiTheme="minorHAnsi" w:cstheme="minorHAnsi"/>
        </w:rPr>
        <w:t>.</w:t>
      </w:r>
    </w:p>
    <w:p w14:paraId="29E4C47B" w14:textId="2376D807" w:rsidR="00130C1C" w:rsidRDefault="004B6080" w:rsidP="00633764">
      <w:pPr>
        <w:pStyle w:val="NormalWeb"/>
        <w:spacing w:line="0" w:lineRule="atLeast"/>
        <w:ind w:left="-432" w:right="-432"/>
        <w:rPr>
          <w:rFonts w:asciiTheme="minorHAnsi" w:hAnsiTheme="minorHAnsi" w:cstheme="minorHAnsi"/>
        </w:rPr>
      </w:pPr>
      <w:r w:rsidRPr="004B6080">
        <w:rPr>
          <w:rFonts w:asciiTheme="minorHAnsi" w:hAnsiTheme="minorHAnsi" w:cstheme="minorHAnsi"/>
        </w:rPr>
        <w:t>January</w:t>
      </w:r>
      <w:r w:rsidR="00111F86" w:rsidRPr="004B6080">
        <w:rPr>
          <w:rFonts w:asciiTheme="minorHAnsi" w:hAnsiTheme="minorHAnsi" w:cstheme="minorHAnsi"/>
        </w:rPr>
        <w:t xml:space="preserve"> </w:t>
      </w:r>
      <w:r w:rsidR="00264B6B" w:rsidRPr="004B6080">
        <w:rPr>
          <w:rFonts w:asciiTheme="minorHAnsi" w:hAnsiTheme="minorHAnsi" w:cstheme="minorHAnsi"/>
        </w:rPr>
        <w:t>collections included increases in all major tax types including regular sales and meals tax primarily due to strength in retail sales and easing of some covid restrictions.</w:t>
      </w:r>
      <w:r w:rsidR="00C151C4" w:rsidRPr="004B6080">
        <w:rPr>
          <w:rFonts w:asciiTheme="minorHAnsi" w:hAnsiTheme="minorHAnsi" w:cstheme="minorHAnsi"/>
        </w:rPr>
        <w:t xml:space="preserve"> </w:t>
      </w:r>
      <w:r w:rsidRPr="004B6080">
        <w:rPr>
          <w:rFonts w:asciiTheme="minorHAnsi" w:hAnsiTheme="minorHAnsi" w:cstheme="minorHAnsi"/>
        </w:rPr>
        <w:t>January</w:t>
      </w:r>
      <w:r w:rsidR="00111F86" w:rsidRPr="004B6080">
        <w:rPr>
          <w:rFonts w:asciiTheme="minorHAnsi" w:hAnsiTheme="minorHAnsi" w:cstheme="minorHAnsi"/>
        </w:rPr>
        <w:t xml:space="preserve"> is typically </w:t>
      </w:r>
      <w:r w:rsidR="00BB27A7" w:rsidRPr="004B6080">
        <w:rPr>
          <w:rFonts w:asciiTheme="minorHAnsi" w:hAnsiTheme="minorHAnsi" w:cstheme="minorHAnsi"/>
        </w:rPr>
        <w:t xml:space="preserve">a </w:t>
      </w:r>
      <w:r w:rsidRPr="004B6080">
        <w:rPr>
          <w:rFonts w:asciiTheme="minorHAnsi" w:hAnsiTheme="minorHAnsi" w:cstheme="minorHAnsi"/>
        </w:rPr>
        <w:t xml:space="preserve">significant </w:t>
      </w:r>
      <w:r w:rsidR="00111F86" w:rsidRPr="004B6080">
        <w:rPr>
          <w:rFonts w:asciiTheme="minorHAnsi" w:hAnsiTheme="minorHAnsi" w:cstheme="minorHAnsi"/>
        </w:rPr>
        <w:t xml:space="preserve">month for collections bringing in about </w:t>
      </w:r>
      <w:r w:rsidRPr="004B6080">
        <w:rPr>
          <w:rFonts w:asciiTheme="minorHAnsi" w:hAnsiTheme="minorHAnsi" w:cstheme="minorHAnsi"/>
        </w:rPr>
        <w:t xml:space="preserve">10.2 </w:t>
      </w:r>
      <w:r w:rsidR="00111F86" w:rsidRPr="004B6080">
        <w:rPr>
          <w:rFonts w:asciiTheme="minorHAnsi" w:hAnsiTheme="minorHAnsi" w:cstheme="minorHAnsi"/>
        </w:rPr>
        <w:t>percent of the state’s annual revenue.</w:t>
      </w:r>
      <w:r w:rsidR="008A0D8B" w:rsidRPr="004B6080">
        <w:rPr>
          <w:rFonts w:asciiTheme="minorHAnsi" w:hAnsiTheme="minorHAnsi" w:cstheme="minorHAnsi"/>
        </w:rPr>
        <w:t xml:space="preserve"> FY2022’s tax revenue projection</w:t>
      </w:r>
      <w:r w:rsidR="00DA28E5" w:rsidRPr="004B6080">
        <w:rPr>
          <w:rFonts w:asciiTheme="minorHAnsi" w:hAnsiTheme="minorHAnsi" w:cstheme="minorHAnsi"/>
        </w:rPr>
        <w:t xml:space="preserve"> was updated in December to </w:t>
      </w:r>
      <w:r w:rsidRPr="004B6080">
        <w:rPr>
          <w:rFonts w:asciiTheme="minorHAnsi" w:hAnsiTheme="minorHAnsi" w:cstheme="minorHAnsi"/>
        </w:rPr>
        <w:t>$35.90 billion.</w:t>
      </w:r>
    </w:p>
    <w:p w14:paraId="214A377F" w14:textId="77777777" w:rsidR="004B6080" w:rsidRDefault="004B6080" w:rsidP="00633764">
      <w:pPr>
        <w:pStyle w:val="NormalWeb"/>
        <w:spacing w:line="0" w:lineRule="atLeast"/>
        <w:ind w:left="-432" w:right="-432"/>
        <w:rPr>
          <w:rFonts w:asciiTheme="minorHAnsi" w:hAnsiTheme="minorHAnsi" w:cstheme="minorHAnsi"/>
        </w:rPr>
      </w:pPr>
    </w:p>
    <w:p w14:paraId="5D416A98" w14:textId="66DEA9CE" w:rsidR="00585F65" w:rsidRDefault="00585F65" w:rsidP="00585F65">
      <w:pPr>
        <w:pStyle w:val="NormalWeb"/>
        <w:spacing w:line="0" w:lineRule="atLeast"/>
        <w:ind w:left="-432" w:right="-432"/>
        <w:rPr>
          <w:rFonts w:asciiTheme="minorHAnsi" w:hAnsiTheme="minorHAnsi" w:cstheme="minorHAnsi"/>
          <w:b/>
          <w:bCs/>
          <w:u w:val="single"/>
        </w:rPr>
      </w:pPr>
      <w:r w:rsidRPr="002809B6">
        <w:rPr>
          <w:rFonts w:asciiTheme="minorHAnsi" w:hAnsiTheme="minorHAnsi" w:cstheme="minorHAnsi"/>
          <w:b/>
          <w:bCs/>
          <w:u w:val="single"/>
        </w:rPr>
        <w:t>FY 202</w:t>
      </w:r>
      <w:r>
        <w:rPr>
          <w:rFonts w:asciiTheme="minorHAnsi" w:hAnsiTheme="minorHAnsi" w:cstheme="minorHAnsi"/>
          <w:b/>
          <w:bCs/>
          <w:u w:val="single"/>
        </w:rPr>
        <w:t>3</w:t>
      </w:r>
      <w:r w:rsidRPr="002809B6">
        <w:rPr>
          <w:rFonts w:asciiTheme="minorHAnsi" w:hAnsiTheme="minorHAnsi" w:cstheme="minorHAnsi"/>
          <w:b/>
          <w:bCs/>
          <w:u w:val="single"/>
        </w:rPr>
        <w:t xml:space="preserve"> Budget</w:t>
      </w:r>
      <w:r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31A33AF6" w14:textId="2DC69AC4" w:rsidR="00585F65" w:rsidRDefault="00585F65" w:rsidP="00585F65">
      <w:pPr>
        <w:pStyle w:val="NormalWeb"/>
        <w:spacing w:line="0" w:lineRule="atLeast"/>
        <w:ind w:right="-4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 January 26</w:t>
      </w:r>
      <w:r w:rsidRPr="00CF7090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, Governor Baker released his FY 2023 budget totaling $48.5 billion that does not include any tax </w:t>
      </w:r>
      <w:r w:rsidR="00CF0910">
        <w:rPr>
          <w:rFonts w:asciiTheme="minorHAnsi" w:hAnsiTheme="minorHAnsi" w:cstheme="minorHAnsi"/>
        </w:rPr>
        <w:t>increases</w:t>
      </w:r>
      <w:r>
        <w:rPr>
          <w:rFonts w:asciiTheme="minorHAnsi" w:hAnsiTheme="minorHAnsi" w:cstheme="minorHAnsi"/>
        </w:rPr>
        <w:t xml:space="preserve"> </w:t>
      </w:r>
      <w:r w:rsidR="0019135B">
        <w:rPr>
          <w:rFonts w:asciiTheme="minorHAnsi" w:hAnsiTheme="minorHAnsi" w:cstheme="minorHAnsi"/>
        </w:rPr>
        <w:t xml:space="preserve"> and increases state spending by</w:t>
      </w:r>
      <w:r>
        <w:rPr>
          <w:rFonts w:asciiTheme="minorHAnsi" w:hAnsiTheme="minorHAnsi" w:cstheme="minorHAnsi"/>
        </w:rPr>
        <w:t xml:space="preserve"> 0.</w:t>
      </w:r>
      <w:r w:rsidR="0019135B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percent.  The FY202</w:t>
      </w:r>
      <w:r w:rsidR="0019135B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budget is based on tax collections </w:t>
      </w:r>
      <w:r w:rsidR="00CF0910">
        <w:rPr>
          <w:rFonts w:asciiTheme="minorHAnsi" w:hAnsiTheme="minorHAnsi" w:cstheme="minorHAnsi"/>
        </w:rPr>
        <w:t>totaling</w:t>
      </w:r>
      <w:r>
        <w:rPr>
          <w:rFonts w:asciiTheme="minorHAnsi" w:hAnsiTheme="minorHAnsi" w:cstheme="minorHAnsi"/>
        </w:rPr>
        <w:t xml:space="preserve"> $36.91 billion which would be an increase of 2.7 percent over the current budget.  Please see some of the important line items on page 3.  Some items of note:</w:t>
      </w:r>
    </w:p>
    <w:p w14:paraId="1CBC19C6" w14:textId="77777777" w:rsidR="00585F65" w:rsidRDefault="00585F65" w:rsidP="00585F65">
      <w:pPr>
        <w:pStyle w:val="NormalWeb"/>
        <w:numPr>
          <w:ilvl w:val="0"/>
          <w:numId w:val="17"/>
        </w:numPr>
        <w:spacing w:line="0" w:lineRule="atLeast"/>
        <w:ind w:right="-4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Included in the outside sections is the proposed cap on sick time of 1,000 hours.</w:t>
      </w:r>
    </w:p>
    <w:p w14:paraId="1B031F78" w14:textId="407909D2" w:rsidR="00633764" w:rsidRDefault="00585F65" w:rsidP="0019135B">
      <w:pPr>
        <w:pStyle w:val="NormalWeb"/>
        <w:numPr>
          <w:ilvl w:val="0"/>
          <w:numId w:val="17"/>
        </w:numPr>
        <w:spacing w:line="0" w:lineRule="atLeast"/>
        <w:ind w:right="-4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Also in the outside sections is the authorization for DCR to enter into leases for solar canopies.</w:t>
      </w:r>
    </w:p>
    <w:p w14:paraId="7E7A91A8" w14:textId="77777777" w:rsidR="00653476" w:rsidRPr="0074395F" w:rsidRDefault="00653476" w:rsidP="00653476">
      <w:pPr>
        <w:pStyle w:val="NormalWeb"/>
        <w:spacing w:line="0" w:lineRule="atLeast"/>
        <w:ind w:left="720" w:right="-432"/>
        <w:rPr>
          <w:rFonts w:asciiTheme="minorHAnsi" w:hAnsiTheme="minorHAnsi" w:cstheme="minorHAnsi"/>
        </w:rPr>
      </w:pPr>
    </w:p>
    <w:p w14:paraId="3DB7DB85" w14:textId="17A67F78" w:rsidR="00633764" w:rsidRDefault="00633764" w:rsidP="00633764">
      <w:pPr>
        <w:pStyle w:val="NormalWeb"/>
        <w:spacing w:line="0" w:lineRule="atLeast"/>
        <w:ind w:left="-432" w:right="-432"/>
        <w:rPr>
          <w:rFonts w:asciiTheme="minorHAnsi" w:hAnsiTheme="minorHAnsi" w:cstheme="minorHAnsi"/>
          <w:b/>
          <w:bCs/>
          <w:u w:val="single"/>
        </w:rPr>
      </w:pPr>
      <w:r w:rsidRPr="00633764">
        <w:rPr>
          <w:rFonts w:asciiTheme="minorHAnsi" w:hAnsiTheme="minorHAnsi" w:cstheme="minorHAnsi"/>
          <w:b/>
          <w:bCs/>
          <w:u w:val="single"/>
        </w:rPr>
        <w:t xml:space="preserve">Collective Bargaining </w:t>
      </w:r>
      <w:r w:rsidR="00DA28E5">
        <w:rPr>
          <w:rFonts w:asciiTheme="minorHAnsi" w:hAnsiTheme="minorHAnsi" w:cstheme="minorHAnsi"/>
          <w:b/>
          <w:bCs/>
          <w:u w:val="single"/>
        </w:rPr>
        <w:t>Supplemental Budget</w:t>
      </w:r>
    </w:p>
    <w:p w14:paraId="5F3CD747" w14:textId="15D2DAFA" w:rsidR="00250572" w:rsidRDefault="00DA28E5" w:rsidP="00250572">
      <w:pPr>
        <w:pStyle w:val="NormalWeb"/>
        <w:spacing w:line="0" w:lineRule="atLeast"/>
        <w:ind w:left="-432" w:right="-4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With the Legislature back in session, </w:t>
      </w:r>
      <w:r w:rsidR="006746A6">
        <w:rPr>
          <w:rFonts w:asciiTheme="minorHAnsi" w:hAnsiTheme="minorHAnsi" w:cstheme="minorHAnsi"/>
        </w:rPr>
        <w:t>MOSES</w:t>
      </w:r>
      <w:r>
        <w:rPr>
          <w:rFonts w:asciiTheme="minorHAnsi" w:hAnsiTheme="minorHAnsi" w:cstheme="minorHAnsi"/>
        </w:rPr>
        <w:t xml:space="preserve"> is continuing to press Governor Baker to file a supplemental budget to include the Commonwealth (and MassDOT) agreements.</w:t>
      </w:r>
      <w:r w:rsidR="006746A6">
        <w:rPr>
          <w:rFonts w:asciiTheme="minorHAnsi" w:hAnsiTheme="minorHAnsi" w:cstheme="minorHAnsi"/>
        </w:rPr>
        <w:t xml:space="preserve"> There is no firm timetable for </w:t>
      </w:r>
      <w:r w:rsidR="00095B51">
        <w:rPr>
          <w:rFonts w:asciiTheme="minorHAnsi" w:hAnsiTheme="minorHAnsi" w:cstheme="minorHAnsi"/>
        </w:rPr>
        <w:t xml:space="preserve">a supplemental budget to come out, but it is anticipated to be sometime </w:t>
      </w:r>
      <w:r w:rsidR="00653476">
        <w:rPr>
          <w:rFonts w:asciiTheme="minorHAnsi" w:hAnsiTheme="minorHAnsi" w:cstheme="minorHAnsi"/>
        </w:rPr>
        <w:t>this month</w:t>
      </w:r>
      <w:r w:rsidR="00095B51">
        <w:rPr>
          <w:rFonts w:asciiTheme="minorHAnsi" w:hAnsiTheme="minorHAnsi" w:cstheme="minorHAnsi"/>
        </w:rPr>
        <w:t>.</w:t>
      </w:r>
    </w:p>
    <w:p w14:paraId="70E5AAC7" w14:textId="77777777" w:rsidR="00CF0910" w:rsidRPr="002D5681" w:rsidRDefault="00CF0910" w:rsidP="00CF0910">
      <w:pPr>
        <w:pStyle w:val="NormalWeb"/>
        <w:spacing w:line="0" w:lineRule="atLeast"/>
        <w:ind w:left="-432" w:right="-432"/>
        <w:rPr>
          <w:rFonts w:asciiTheme="minorHAnsi" w:hAnsiTheme="minorHAnsi" w:cstheme="minorHAnsi"/>
        </w:rPr>
      </w:pPr>
      <w:r w:rsidRPr="002D5681">
        <w:rPr>
          <w:rFonts w:asciiTheme="minorHAnsi" w:hAnsiTheme="minorHAnsi" w:cstheme="minorHAnsi"/>
          <w:b/>
          <w:bCs/>
          <w:color w:val="231F20"/>
          <w:u w:val="single"/>
        </w:rPr>
        <w:lastRenderedPageBreak/>
        <w:t>Retirement Legislation</w:t>
      </w:r>
    </w:p>
    <w:p w14:paraId="0E671ABA" w14:textId="7C0BF8DC" w:rsidR="00250572" w:rsidRDefault="00CF0910" w:rsidP="00CF0910">
      <w:pPr>
        <w:pStyle w:val="NormalWeb"/>
        <w:spacing w:line="0" w:lineRule="atLeast"/>
        <w:ind w:left="-432" w:right="-432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 xml:space="preserve">Unfortunately, </w:t>
      </w:r>
      <w:r w:rsidRPr="002D5681">
        <w:rPr>
          <w:rFonts w:asciiTheme="minorHAnsi" w:hAnsiTheme="minorHAnsi" w:cstheme="minorHAnsi"/>
          <w:color w:val="231F20"/>
        </w:rPr>
        <w:t xml:space="preserve"> </w:t>
      </w:r>
      <w:r w:rsidRPr="002D5681">
        <w:rPr>
          <w:rFonts w:asciiTheme="minorHAnsi" w:hAnsiTheme="minorHAnsi" w:cstheme="minorHAnsi"/>
          <w:b/>
          <w:bCs/>
          <w:color w:val="231F20"/>
        </w:rPr>
        <w:t>H2808/ S1669</w:t>
      </w:r>
      <w:r w:rsidRPr="002D5681">
        <w:rPr>
          <w:rFonts w:asciiTheme="minorHAnsi" w:hAnsiTheme="minorHAnsi" w:cstheme="minorHAnsi"/>
          <w:color w:val="231F20"/>
        </w:rPr>
        <w:t xml:space="preserve"> providing 3 years of retirement credit for those </w:t>
      </w:r>
      <w:r w:rsidRPr="005D380B">
        <w:rPr>
          <w:rFonts w:asciiTheme="minorHAnsi" w:hAnsiTheme="minorHAnsi" w:cstheme="minorHAnsi"/>
          <w:color w:val="231F20"/>
        </w:rPr>
        <w:t>required to work outside of their home during the COVID state of emergency</w:t>
      </w:r>
      <w:r>
        <w:rPr>
          <w:rFonts w:asciiTheme="minorHAnsi" w:hAnsiTheme="minorHAnsi" w:cstheme="minorHAnsi"/>
          <w:color w:val="231F20"/>
        </w:rPr>
        <w:t xml:space="preserve"> was sent to study by the Joint Committee on Public Service</w:t>
      </w:r>
      <w:r w:rsidRPr="005D380B">
        <w:rPr>
          <w:rFonts w:asciiTheme="minorHAnsi" w:hAnsiTheme="minorHAnsi" w:cstheme="minorHAnsi"/>
          <w:color w:val="231F20"/>
        </w:rPr>
        <w:t>.</w:t>
      </w:r>
      <w:r>
        <w:rPr>
          <w:rFonts w:asciiTheme="minorHAnsi" w:hAnsiTheme="minorHAnsi" w:cstheme="minorHAnsi"/>
          <w:color w:val="231F20"/>
        </w:rPr>
        <w:t xml:space="preserve"> </w:t>
      </w:r>
    </w:p>
    <w:p w14:paraId="163AF780" w14:textId="77777777" w:rsidR="00CF0910" w:rsidRPr="00CF0910" w:rsidRDefault="00CF0910" w:rsidP="00CF0910">
      <w:pPr>
        <w:pStyle w:val="NormalWeb"/>
        <w:spacing w:line="0" w:lineRule="atLeast"/>
        <w:ind w:left="-432" w:right="-432"/>
        <w:rPr>
          <w:rFonts w:asciiTheme="minorHAnsi" w:hAnsiTheme="minorHAnsi" w:cstheme="minorHAnsi"/>
          <w:color w:val="231F20"/>
        </w:rPr>
      </w:pPr>
    </w:p>
    <w:p w14:paraId="40E7C6DE" w14:textId="3C1BB7CD" w:rsidR="00320741" w:rsidRPr="00444B6A" w:rsidRDefault="00C32739" w:rsidP="00250572">
      <w:pPr>
        <w:pStyle w:val="NormalWeb"/>
        <w:spacing w:line="0" w:lineRule="atLeast"/>
        <w:ind w:left="-432" w:right="-432"/>
        <w:rPr>
          <w:rFonts w:asciiTheme="minorHAnsi" w:hAnsiTheme="minorHAnsi" w:cstheme="minorHAnsi"/>
        </w:rPr>
      </w:pPr>
      <w:r w:rsidRPr="00444B6A">
        <w:rPr>
          <w:rFonts w:asciiTheme="minorHAnsi" w:hAnsiTheme="minorHAnsi" w:cstheme="minorHAnsi"/>
          <w:b/>
          <w:bCs/>
          <w:u w:val="single"/>
        </w:rPr>
        <w:t>MOSES Legislation</w:t>
      </w:r>
    </w:p>
    <w:p w14:paraId="5D186333" w14:textId="5F1B11A7" w:rsidR="00320741" w:rsidRDefault="00CF0910" w:rsidP="00141F63">
      <w:pPr>
        <w:pStyle w:val="NormalWeb"/>
        <w:spacing w:line="0" w:lineRule="atLeast"/>
        <w:ind w:left="-432" w:right="-432"/>
        <w:rPr>
          <w:rFonts w:ascii="Calibri" w:hAnsi="Calibri" w:cs="Calibri"/>
        </w:rPr>
      </w:pPr>
      <w:r>
        <w:rPr>
          <w:rFonts w:ascii="Calibri" w:hAnsi="Calibri" w:cs="Calibri"/>
        </w:rPr>
        <w:t>Joint Rule 10 Day</w:t>
      </w:r>
      <w:r w:rsidR="003016C3">
        <w:rPr>
          <w:rFonts w:ascii="Calibri" w:hAnsi="Calibri" w:cs="Calibri"/>
        </w:rPr>
        <w:t xml:space="preserve"> occurred on Feb</w:t>
      </w:r>
      <w:r w:rsidR="00444B6A">
        <w:rPr>
          <w:rFonts w:ascii="Calibri" w:hAnsi="Calibri" w:cs="Calibri"/>
        </w:rPr>
        <w:t>r</w:t>
      </w:r>
      <w:r w:rsidR="003016C3">
        <w:rPr>
          <w:rFonts w:ascii="Calibri" w:hAnsi="Calibri" w:cs="Calibri"/>
        </w:rPr>
        <w:t>uary 2</w:t>
      </w:r>
      <w:r w:rsidR="003016C3" w:rsidRPr="003016C3">
        <w:rPr>
          <w:rFonts w:ascii="Calibri" w:hAnsi="Calibri" w:cs="Calibri"/>
          <w:vertAlign w:val="superscript"/>
        </w:rPr>
        <w:t>nd</w:t>
      </w:r>
      <w:r w:rsidR="003016C3">
        <w:rPr>
          <w:rFonts w:ascii="Calibri" w:hAnsi="Calibri" w:cs="Calibri"/>
        </w:rPr>
        <w:t xml:space="preserve"> which is a decision day for legislation in their initial committees on if they are to move forward or not. A number of MOSES priority bills were given favorable releases:</w:t>
      </w:r>
    </w:p>
    <w:p w14:paraId="5D1D3B11" w14:textId="208CC64C" w:rsidR="00F945F3" w:rsidRDefault="003016C3" w:rsidP="00F945F3">
      <w:pPr>
        <w:pStyle w:val="NormalWeb"/>
        <w:numPr>
          <w:ilvl w:val="0"/>
          <w:numId w:val="19"/>
        </w:numPr>
        <w:spacing w:line="0" w:lineRule="atLeast"/>
        <w:ind w:right="-432"/>
        <w:rPr>
          <w:rFonts w:ascii="Calibri" w:hAnsi="Calibri" w:cs="Calibri"/>
        </w:rPr>
      </w:pPr>
      <w:r w:rsidRPr="003016C3">
        <w:rPr>
          <w:rFonts w:ascii="Calibri" w:hAnsi="Calibri" w:cs="Calibri"/>
          <w:b/>
          <w:bCs/>
          <w:u w:val="single"/>
        </w:rPr>
        <w:t>H2792/S1681</w:t>
      </w:r>
      <w:r w:rsidR="00F945F3">
        <w:rPr>
          <w:rFonts w:ascii="Calibri" w:hAnsi="Calibri" w:cs="Calibri"/>
          <w:b/>
          <w:bCs/>
          <w:u w:val="single"/>
        </w:rPr>
        <w:t xml:space="preserve"> </w:t>
      </w:r>
      <w:r w:rsidRPr="003016C3">
        <w:rPr>
          <w:rFonts w:ascii="Calibri" w:hAnsi="Calibri" w:cs="Calibri"/>
          <w:b/>
          <w:bCs/>
          <w:u w:val="single"/>
        </w:rPr>
        <w:t>An Act related to timely retirement payment</w:t>
      </w:r>
      <w:r>
        <w:rPr>
          <w:rFonts w:ascii="Calibri" w:hAnsi="Calibri" w:cs="Calibri"/>
        </w:rPr>
        <w:t>- Provides that if a retirement board is unable to calculate the full retirement payment by the first payment date, it shall pay 90% of its estimated full monthly payment until it is corrected. Requires the retirement board to notify</w:t>
      </w:r>
      <w:r w:rsidR="00F945F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 House and Senate</w:t>
      </w:r>
      <w:r w:rsidR="00F945F3">
        <w:rPr>
          <w:rFonts w:ascii="Calibri" w:hAnsi="Calibri" w:cs="Calibri"/>
        </w:rPr>
        <w:t xml:space="preserve"> of all circumstances on an annual basis.</w:t>
      </w:r>
    </w:p>
    <w:p w14:paraId="53A024C7" w14:textId="77777777" w:rsidR="00444B6A" w:rsidRDefault="00444B6A" w:rsidP="00444B6A">
      <w:pPr>
        <w:pStyle w:val="NormalWeb"/>
        <w:spacing w:line="0" w:lineRule="atLeast"/>
        <w:ind w:left="288" w:right="-432"/>
        <w:rPr>
          <w:rFonts w:ascii="Calibri" w:hAnsi="Calibri" w:cs="Calibri"/>
        </w:rPr>
      </w:pPr>
    </w:p>
    <w:p w14:paraId="545778FB" w14:textId="41AFD7F6" w:rsidR="00F945F3" w:rsidRDefault="00444B6A" w:rsidP="00444B6A">
      <w:pPr>
        <w:pStyle w:val="NormalWeb"/>
        <w:numPr>
          <w:ilvl w:val="0"/>
          <w:numId w:val="19"/>
        </w:numPr>
        <w:spacing w:line="0" w:lineRule="atLeast"/>
        <w:ind w:right="-432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H3127/S2087 An Act to promote safety, efficiency and accountability in transportation projects through public inspections</w:t>
      </w:r>
      <w:r w:rsidRPr="00444B6A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 </w:t>
      </w:r>
      <w:r w:rsidRPr="00444B6A">
        <w:rPr>
          <w:rFonts w:ascii="Calibri" w:hAnsi="Calibri" w:cs="Calibri"/>
        </w:rPr>
        <w:t>Requires that public employees carry out the construction inspection functions for all surface transportation projects receiving state or federal funding</w:t>
      </w:r>
      <w:r>
        <w:rPr>
          <w:rFonts w:ascii="Calibri" w:hAnsi="Calibri" w:cs="Calibri"/>
        </w:rPr>
        <w:t>.</w:t>
      </w:r>
    </w:p>
    <w:p w14:paraId="11FCC0E7" w14:textId="77777777" w:rsidR="00444B6A" w:rsidRPr="00444B6A" w:rsidRDefault="00444B6A" w:rsidP="00444B6A">
      <w:pPr>
        <w:pStyle w:val="NormalWeb"/>
        <w:spacing w:line="0" w:lineRule="atLeast"/>
        <w:ind w:right="-432"/>
        <w:rPr>
          <w:rFonts w:ascii="Calibri" w:hAnsi="Calibri" w:cs="Calibri"/>
        </w:rPr>
      </w:pPr>
    </w:p>
    <w:p w14:paraId="5E27204A" w14:textId="0DA81CBF" w:rsidR="00F945F3" w:rsidRPr="00F945F3" w:rsidRDefault="00F945F3" w:rsidP="00F945F3">
      <w:pPr>
        <w:pStyle w:val="NormalWeb"/>
        <w:numPr>
          <w:ilvl w:val="0"/>
          <w:numId w:val="19"/>
        </w:numPr>
        <w:spacing w:line="0" w:lineRule="atLeast"/>
        <w:ind w:right="-432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S1248 </w:t>
      </w:r>
      <w:r w:rsidRPr="00F945F3">
        <w:rPr>
          <w:rFonts w:ascii="Calibri" w:hAnsi="Calibri" w:cs="Calibri"/>
          <w:b/>
          <w:bCs/>
          <w:u w:val="single"/>
        </w:rPr>
        <w:t>An Act relative to collective bargaining dues-</w:t>
      </w:r>
      <w:r>
        <w:rPr>
          <w:rFonts w:ascii="Calibri" w:hAnsi="Calibri" w:cs="Calibri"/>
        </w:rPr>
        <w:t xml:space="preserve"> </w:t>
      </w:r>
      <w:r w:rsidRPr="00F945F3">
        <w:rPr>
          <w:rFonts w:ascii="Calibri" w:hAnsi="Calibri" w:cs="Calibri"/>
        </w:rPr>
        <w:t>Amends </w:t>
      </w:r>
      <w:r>
        <w:rPr>
          <w:rFonts w:ascii="Calibri" w:hAnsi="Calibri" w:cs="Calibri"/>
        </w:rPr>
        <w:t xml:space="preserve">GL 150E:10 </w:t>
      </w:r>
      <w:r w:rsidRPr="00F945F3">
        <w:rPr>
          <w:rFonts w:ascii="Calibri" w:hAnsi="Calibri" w:cs="Calibri"/>
        </w:rPr>
        <w:t xml:space="preserve"> </w:t>
      </w:r>
      <w:r w:rsidRPr="00F945F3">
        <w:rPr>
          <w:rFonts w:ascii="Calibri" w:hAnsi="Calibri" w:cs="Calibri"/>
        </w:rPr>
        <w:t>(Prohibited Practices by Public Employers) to add refusing to provide a payroll deduction for membership dues authorized by employees represented by their exclusive representative to the list of such practices.</w:t>
      </w:r>
    </w:p>
    <w:p w14:paraId="224BD236" w14:textId="794BAF90" w:rsidR="00F945F3" w:rsidRDefault="00F945F3" w:rsidP="00444B6A">
      <w:pPr>
        <w:pStyle w:val="NormalWeb"/>
        <w:spacing w:line="0" w:lineRule="atLeast"/>
        <w:ind w:left="-72" w:right="-432"/>
        <w:rPr>
          <w:rFonts w:ascii="Calibri" w:hAnsi="Calibri" w:cs="Calibri"/>
        </w:rPr>
      </w:pPr>
    </w:p>
    <w:p w14:paraId="679B203F" w14:textId="7CCC9931" w:rsidR="00444B6A" w:rsidRPr="00141F63" w:rsidRDefault="00444B6A" w:rsidP="00444B6A">
      <w:pPr>
        <w:pStyle w:val="NormalWeb"/>
        <w:numPr>
          <w:ilvl w:val="0"/>
          <w:numId w:val="19"/>
        </w:numPr>
        <w:spacing w:line="0" w:lineRule="atLeast"/>
        <w:ind w:right="-432"/>
        <w:rPr>
          <w:rFonts w:ascii="Calibri" w:hAnsi="Calibri" w:cs="Calibri"/>
        </w:rPr>
      </w:pPr>
      <w:r>
        <w:rPr>
          <w:rFonts w:ascii="Calibri" w:hAnsi="Calibri" w:cs="Calibri"/>
        </w:rPr>
        <w:t>In addition, the Crime Lab (</w:t>
      </w:r>
      <w:r w:rsidRPr="00444B6A">
        <w:rPr>
          <w:rFonts w:ascii="Calibri" w:hAnsi="Calibri" w:cs="Calibri"/>
          <w:b/>
          <w:bCs/>
        </w:rPr>
        <w:t>H2797</w:t>
      </w:r>
      <w:r>
        <w:rPr>
          <w:rFonts w:ascii="Calibri" w:hAnsi="Calibri" w:cs="Calibri"/>
        </w:rPr>
        <w:t>) and DCR Aerial Foresters (</w:t>
      </w:r>
      <w:r w:rsidRPr="00444B6A">
        <w:rPr>
          <w:rFonts w:ascii="Calibri" w:hAnsi="Calibri" w:cs="Calibri"/>
          <w:b/>
          <w:bCs/>
        </w:rPr>
        <w:t>H2701</w:t>
      </w:r>
      <w:r>
        <w:rPr>
          <w:rFonts w:ascii="Calibri" w:hAnsi="Calibri" w:cs="Calibri"/>
        </w:rPr>
        <w:t>) regarding movement into group 2 of the retirement system were given extensions until 3/31 for a decision to be made.</w:t>
      </w:r>
    </w:p>
    <w:p w14:paraId="2943425D" w14:textId="0D2875A3" w:rsidR="00C32739" w:rsidRDefault="00C32739" w:rsidP="00546117">
      <w:pPr>
        <w:pStyle w:val="NormalWeb"/>
        <w:spacing w:line="0" w:lineRule="atLeast"/>
        <w:ind w:right="-432"/>
        <w:rPr>
          <w:rFonts w:asciiTheme="minorHAnsi" w:hAnsiTheme="minorHAnsi" w:cstheme="minorHAnsi"/>
        </w:rPr>
      </w:pPr>
    </w:p>
    <w:p w14:paraId="6435B625" w14:textId="3A9A6A78" w:rsidR="0074395F" w:rsidRDefault="00964823" w:rsidP="00546117">
      <w:pPr>
        <w:pStyle w:val="NormalWeb"/>
        <w:spacing w:line="0" w:lineRule="atLeast"/>
        <w:ind w:right="-432"/>
        <w:rPr>
          <w:rFonts w:asciiTheme="minorHAnsi" w:hAnsiTheme="minorHAnsi" w:cstheme="minorHAnsi"/>
        </w:rPr>
      </w:pPr>
      <w:r w:rsidRPr="00964823">
        <w:rPr>
          <w:noProof/>
        </w:rPr>
        <w:lastRenderedPageBreak/>
        <w:drawing>
          <wp:inline distT="0" distB="0" distL="0" distR="0" wp14:anchorId="47FB4F07" wp14:editId="075C077C">
            <wp:extent cx="6201169" cy="5045075"/>
            <wp:effectExtent l="0" t="0" r="9525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998" cy="504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395F" w:rsidSect="00D0348D"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DD3E8" w14:textId="77777777" w:rsidR="000B7723" w:rsidRDefault="000B7723" w:rsidP="00B30FAB">
      <w:r>
        <w:separator/>
      </w:r>
    </w:p>
  </w:endnote>
  <w:endnote w:type="continuationSeparator" w:id="0">
    <w:p w14:paraId="7AB84EEA" w14:textId="77777777" w:rsidR="000B7723" w:rsidRDefault="000B7723" w:rsidP="00B3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7914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A1C3D" w14:textId="77777777" w:rsidR="00B30FAB" w:rsidRDefault="00B30F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1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46A19AA" w14:textId="77777777" w:rsidR="00B30FAB" w:rsidRDefault="00B30F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99D6A" w14:textId="77777777" w:rsidR="000B7723" w:rsidRDefault="000B7723" w:rsidP="00B30FAB">
      <w:r>
        <w:separator/>
      </w:r>
    </w:p>
  </w:footnote>
  <w:footnote w:type="continuationSeparator" w:id="0">
    <w:p w14:paraId="4C84C26E" w14:textId="77777777" w:rsidR="000B7723" w:rsidRDefault="000B7723" w:rsidP="00B30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90558"/>
    <w:multiLevelType w:val="hybridMultilevel"/>
    <w:tmpl w:val="A174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E713E"/>
    <w:multiLevelType w:val="hybridMultilevel"/>
    <w:tmpl w:val="0722142A"/>
    <w:lvl w:ilvl="0" w:tplc="A88C9870">
      <w:start w:val="116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A2399"/>
    <w:multiLevelType w:val="hybridMultilevel"/>
    <w:tmpl w:val="7D96604A"/>
    <w:lvl w:ilvl="0" w:tplc="F28A3E04">
      <w:numFmt w:val="bullet"/>
      <w:lvlText w:val=""/>
      <w:lvlJc w:val="left"/>
      <w:pPr>
        <w:ind w:left="-72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3" w15:restartNumberingAfterBreak="0">
    <w:nsid w:val="1977166E"/>
    <w:multiLevelType w:val="hybridMultilevel"/>
    <w:tmpl w:val="5230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737A1"/>
    <w:multiLevelType w:val="hybridMultilevel"/>
    <w:tmpl w:val="8024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E54C4"/>
    <w:multiLevelType w:val="hybridMultilevel"/>
    <w:tmpl w:val="5E9E2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F33B2"/>
    <w:multiLevelType w:val="multilevel"/>
    <w:tmpl w:val="0646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0C7615"/>
    <w:multiLevelType w:val="hybridMultilevel"/>
    <w:tmpl w:val="AAA87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376AB"/>
    <w:multiLevelType w:val="hybridMultilevel"/>
    <w:tmpl w:val="C9B0EF64"/>
    <w:lvl w:ilvl="0" w:tplc="5554E2AE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C57071"/>
    <w:multiLevelType w:val="hybridMultilevel"/>
    <w:tmpl w:val="DA0465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171CC3"/>
    <w:multiLevelType w:val="hybridMultilevel"/>
    <w:tmpl w:val="3CCA9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84E0F"/>
    <w:multiLevelType w:val="hybridMultilevel"/>
    <w:tmpl w:val="C6EE35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4C12D0"/>
    <w:multiLevelType w:val="hybridMultilevel"/>
    <w:tmpl w:val="8A60034C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3" w15:restartNumberingAfterBreak="0">
    <w:nsid w:val="60FE48F0"/>
    <w:multiLevelType w:val="hybridMultilevel"/>
    <w:tmpl w:val="937EB3D0"/>
    <w:lvl w:ilvl="0" w:tplc="C2A8627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21252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F1334"/>
    <w:multiLevelType w:val="hybridMultilevel"/>
    <w:tmpl w:val="D6E6C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A465B"/>
    <w:multiLevelType w:val="hybridMultilevel"/>
    <w:tmpl w:val="C3C85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527DD"/>
    <w:multiLevelType w:val="hybridMultilevel"/>
    <w:tmpl w:val="1C30BC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D5F4F"/>
    <w:multiLevelType w:val="hybridMultilevel"/>
    <w:tmpl w:val="F7C87AE2"/>
    <w:lvl w:ilvl="0" w:tplc="6BA4CBB2">
      <w:numFmt w:val="bullet"/>
      <w:lvlText w:val=""/>
      <w:lvlJc w:val="left"/>
      <w:pPr>
        <w:ind w:left="288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8" w15:restartNumberingAfterBreak="0">
    <w:nsid w:val="7C255836"/>
    <w:multiLevelType w:val="hybridMultilevel"/>
    <w:tmpl w:val="CE845E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4"/>
  </w:num>
  <w:num w:numId="5">
    <w:abstractNumId w:val="18"/>
  </w:num>
  <w:num w:numId="6">
    <w:abstractNumId w:val="16"/>
  </w:num>
  <w:num w:numId="7">
    <w:abstractNumId w:val="9"/>
  </w:num>
  <w:num w:numId="8">
    <w:abstractNumId w:val="8"/>
  </w:num>
  <w:num w:numId="9">
    <w:abstractNumId w:val="1"/>
  </w:num>
  <w:num w:numId="10">
    <w:abstractNumId w:val="11"/>
  </w:num>
  <w:num w:numId="11">
    <w:abstractNumId w:val="7"/>
  </w:num>
  <w:num w:numId="12">
    <w:abstractNumId w:val="5"/>
  </w:num>
  <w:num w:numId="13">
    <w:abstractNumId w:val="6"/>
  </w:num>
  <w:num w:numId="14">
    <w:abstractNumId w:val="13"/>
  </w:num>
  <w:num w:numId="15">
    <w:abstractNumId w:val="2"/>
  </w:num>
  <w:num w:numId="16">
    <w:abstractNumId w:val="17"/>
  </w:num>
  <w:num w:numId="17">
    <w:abstractNumId w:val="15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04F"/>
    <w:rsid w:val="00000F19"/>
    <w:rsid w:val="0008400D"/>
    <w:rsid w:val="00095B51"/>
    <w:rsid w:val="000A25A4"/>
    <w:rsid w:val="000B7723"/>
    <w:rsid w:val="000B77FF"/>
    <w:rsid w:val="000D01F0"/>
    <w:rsid w:val="000E65C0"/>
    <w:rsid w:val="00111F86"/>
    <w:rsid w:val="00130C1C"/>
    <w:rsid w:val="00132AD0"/>
    <w:rsid w:val="00141F63"/>
    <w:rsid w:val="0016073A"/>
    <w:rsid w:val="0016795D"/>
    <w:rsid w:val="00173E17"/>
    <w:rsid w:val="00175618"/>
    <w:rsid w:val="00183FA5"/>
    <w:rsid w:val="0019135B"/>
    <w:rsid w:val="00195453"/>
    <w:rsid w:val="001B02F2"/>
    <w:rsid w:val="001B2F5E"/>
    <w:rsid w:val="001C2E53"/>
    <w:rsid w:val="001F1FCD"/>
    <w:rsid w:val="001F3F05"/>
    <w:rsid w:val="001F604F"/>
    <w:rsid w:val="00217DC3"/>
    <w:rsid w:val="00234E7B"/>
    <w:rsid w:val="00250572"/>
    <w:rsid w:val="002577C2"/>
    <w:rsid w:val="00262A60"/>
    <w:rsid w:val="00264B6B"/>
    <w:rsid w:val="00271141"/>
    <w:rsid w:val="002809B6"/>
    <w:rsid w:val="002A5882"/>
    <w:rsid w:val="002B6C6F"/>
    <w:rsid w:val="002B7C54"/>
    <w:rsid w:val="002C69A1"/>
    <w:rsid w:val="002D3D33"/>
    <w:rsid w:val="002D5681"/>
    <w:rsid w:val="002D6CBD"/>
    <w:rsid w:val="002D7ADB"/>
    <w:rsid w:val="002F1681"/>
    <w:rsid w:val="002F40F3"/>
    <w:rsid w:val="002F42F0"/>
    <w:rsid w:val="002F54F3"/>
    <w:rsid w:val="003016C3"/>
    <w:rsid w:val="00320741"/>
    <w:rsid w:val="003309BE"/>
    <w:rsid w:val="00340B66"/>
    <w:rsid w:val="003612D6"/>
    <w:rsid w:val="00361E8C"/>
    <w:rsid w:val="003640F2"/>
    <w:rsid w:val="003677D7"/>
    <w:rsid w:val="00387766"/>
    <w:rsid w:val="003A19FC"/>
    <w:rsid w:val="003A3BED"/>
    <w:rsid w:val="003A7DD6"/>
    <w:rsid w:val="003B3E84"/>
    <w:rsid w:val="003B5E7D"/>
    <w:rsid w:val="003C1A37"/>
    <w:rsid w:val="003D0D37"/>
    <w:rsid w:val="003F4493"/>
    <w:rsid w:val="003F7567"/>
    <w:rsid w:val="00402FD9"/>
    <w:rsid w:val="00403C55"/>
    <w:rsid w:val="00434ACC"/>
    <w:rsid w:val="00444B6A"/>
    <w:rsid w:val="00446A92"/>
    <w:rsid w:val="00446B6F"/>
    <w:rsid w:val="00465786"/>
    <w:rsid w:val="00466E4C"/>
    <w:rsid w:val="00471A9E"/>
    <w:rsid w:val="00491A1F"/>
    <w:rsid w:val="004B6080"/>
    <w:rsid w:val="004B7112"/>
    <w:rsid w:val="004D57CD"/>
    <w:rsid w:val="004E5533"/>
    <w:rsid w:val="004F156F"/>
    <w:rsid w:val="0051007A"/>
    <w:rsid w:val="00523572"/>
    <w:rsid w:val="00534DD2"/>
    <w:rsid w:val="00546117"/>
    <w:rsid w:val="0055260C"/>
    <w:rsid w:val="00554B6E"/>
    <w:rsid w:val="00557113"/>
    <w:rsid w:val="0056155C"/>
    <w:rsid w:val="00576C72"/>
    <w:rsid w:val="00585F65"/>
    <w:rsid w:val="005A34EB"/>
    <w:rsid w:val="005B0595"/>
    <w:rsid w:val="005C42A7"/>
    <w:rsid w:val="005D380B"/>
    <w:rsid w:val="005D519C"/>
    <w:rsid w:val="005E5FE7"/>
    <w:rsid w:val="0060766E"/>
    <w:rsid w:val="006306EB"/>
    <w:rsid w:val="0063096A"/>
    <w:rsid w:val="006328F8"/>
    <w:rsid w:val="00633439"/>
    <w:rsid w:val="00633764"/>
    <w:rsid w:val="00634229"/>
    <w:rsid w:val="00653476"/>
    <w:rsid w:val="006632E6"/>
    <w:rsid w:val="006668F3"/>
    <w:rsid w:val="00667307"/>
    <w:rsid w:val="00670AC2"/>
    <w:rsid w:val="006746A6"/>
    <w:rsid w:val="00676A80"/>
    <w:rsid w:val="00691C6B"/>
    <w:rsid w:val="00693FA2"/>
    <w:rsid w:val="006A0D9F"/>
    <w:rsid w:val="006A0F42"/>
    <w:rsid w:val="006B1242"/>
    <w:rsid w:val="006B33C0"/>
    <w:rsid w:val="006B562F"/>
    <w:rsid w:val="006B62D8"/>
    <w:rsid w:val="006D6381"/>
    <w:rsid w:val="006E6A3D"/>
    <w:rsid w:val="006F149D"/>
    <w:rsid w:val="006F45BA"/>
    <w:rsid w:val="00703CDA"/>
    <w:rsid w:val="00714DFC"/>
    <w:rsid w:val="00720B8E"/>
    <w:rsid w:val="00721704"/>
    <w:rsid w:val="00735474"/>
    <w:rsid w:val="0074395F"/>
    <w:rsid w:val="007569C2"/>
    <w:rsid w:val="007842EB"/>
    <w:rsid w:val="00795B1C"/>
    <w:rsid w:val="007D2958"/>
    <w:rsid w:val="007D6B62"/>
    <w:rsid w:val="007E704D"/>
    <w:rsid w:val="007F1B96"/>
    <w:rsid w:val="00806822"/>
    <w:rsid w:val="008313DE"/>
    <w:rsid w:val="0084522F"/>
    <w:rsid w:val="0085382F"/>
    <w:rsid w:val="00874F9E"/>
    <w:rsid w:val="0088602B"/>
    <w:rsid w:val="00895FA5"/>
    <w:rsid w:val="00897868"/>
    <w:rsid w:val="008A0D8B"/>
    <w:rsid w:val="008A5640"/>
    <w:rsid w:val="008B01EF"/>
    <w:rsid w:val="008B5B15"/>
    <w:rsid w:val="008C0D00"/>
    <w:rsid w:val="008D2AEA"/>
    <w:rsid w:val="008D330A"/>
    <w:rsid w:val="008F56C7"/>
    <w:rsid w:val="00912C6F"/>
    <w:rsid w:val="00913CE8"/>
    <w:rsid w:val="00913F96"/>
    <w:rsid w:val="00922134"/>
    <w:rsid w:val="0094305B"/>
    <w:rsid w:val="009614A8"/>
    <w:rsid w:val="00964823"/>
    <w:rsid w:val="009660B7"/>
    <w:rsid w:val="009A2506"/>
    <w:rsid w:val="009B23B1"/>
    <w:rsid w:val="009B3B3D"/>
    <w:rsid w:val="009C6B89"/>
    <w:rsid w:val="009E47B0"/>
    <w:rsid w:val="009E574F"/>
    <w:rsid w:val="009E7570"/>
    <w:rsid w:val="009E76E9"/>
    <w:rsid w:val="00A2043A"/>
    <w:rsid w:val="00A244E1"/>
    <w:rsid w:val="00A44514"/>
    <w:rsid w:val="00A71E13"/>
    <w:rsid w:val="00A76A5E"/>
    <w:rsid w:val="00A93CA8"/>
    <w:rsid w:val="00A94EE2"/>
    <w:rsid w:val="00AC0D51"/>
    <w:rsid w:val="00B15E2E"/>
    <w:rsid w:val="00B301DD"/>
    <w:rsid w:val="00B30FAB"/>
    <w:rsid w:val="00B3159C"/>
    <w:rsid w:val="00B57010"/>
    <w:rsid w:val="00B642D6"/>
    <w:rsid w:val="00B674D9"/>
    <w:rsid w:val="00B677CF"/>
    <w:rsid w:val="00B8604C"/>
    <w:rsid w:val="00B96B8B"/>
    <w:rsid w:val="00BB27A7"/>
    <w:rsid w:val="00BC242A"/>
    <w:rsid w:val="00BD418F"/>
    <w:rsid w:val="00C11C9F"/>
    <w:rsid w:val="00C151C4"/>
    <w:rsid w:val="00C3056B"/>
    <w:rsid w:val="00C32739"/>
    <w:rsid w:val="00C521D5"/>
    <w:rsid w:val="00C52423"/>
    <w:rsid w:val="00C64CCE"/>
    <w:rsid w:val="00C64D5A"/>
    <w:rsid w:val="00C7277D"/>
    <w:rsid w:val="00C73B23"/>
    <w:rsid w:val="00C763AF"/>
    <w:rsid w:val="00C801D3"/>
    <w:rsid w:val="00C949AA"/>
    <w:rsid w:val="00C94BA6"/>
    <w:rsid w:val="00CA3A51"/>
    <w:rsid w:val="00CC01AD"/>
    <w:rsid w:val="00CC4AC8"/>
    <w:rsid w:val="00CD4F5E"/>
    <w:rsid w:val="00CE6498"/>
    <w:rsid w:val="00CF0910"/>
    <w:rsid w:val="00CF4B58"/>
    <w:rsid w:val="00CF7090"/>
    <w:rsid w:val="00D0348D"/>
    <w:rsid w:val="00D0526E"/>
    <w:rsid w:val="00D16730"/>
    <w:rsid w:val="00D335C5"/>
    <w:rsid w:val="00D37D3A"/>
    <w:rsid w:val="00D50F0E"/>
    <w:rsid w:val="00D67482"/>
    <w:rsid w:val="00D85811"/>
    <w:rsid w:val="00D9130A"/>
    <w:rsid w:val="00DA28E5"/>
    <w:rsid w:val="00DB44D1"/>
    <w:rsid w:val="00DD482A"/>
    <w:rsid w:val="00DE5B6B"/>
    <w:rsid w:val="00DE736F"/>
    <w:rsid w:val="00DF19B5"/>
    <w:rsid w:val="00DF69DE"/>
    <w:rsid w:val="00E00357"/>
    <w:rsid w:val="00E143DB"/>
    <w:rsid w:val="00E21EAA"/>
    <w:rsid w:val="00E227AE"/>
    <w:rsid w:val="00E33088"/>
    <w:rsid w:val="00E47A74"/>
    <w:rsid w:val="00E5640F"/>
    <w:rsid w:val="00E628BB"/>
    <w:rsid w:val="00E64237"/>
    <w:rsid w:val="00E64CAA"/>
    <w:rsid w:val="00E66D22"/>
    <w:rsid w:val="00E801DA"/>
    <w:rsid w:val="00E90B14"/>
    <w:rsid w:val="00E926FD"/>
    <w:rsid w:val="00F164CE"/>
    <w:rsid w:val="00F318F8"/>
    <w:rsid w:val="00F355AB"/>
    <w:rsid w:val="00F61D34"/>
    <w:rsid w:val="00F61FA3"/>
    <w:rsid w:val="00F861FD"/>
    <w:rsid w:val="00F92B23"/>
    <w:rsid w:val="00F92BC4"/>
    <w:rsid w:val="00F945F3"/>
    <w:rsid w:val="00FA3809"/>
    <w:rsid w:val="00FA445E"/>
    <w:rsid w:val="00FB10DC"/>
    <w:rsid w:val="00FF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F3242"/>
  <w15:chartTrackingRefBased/>
  <w15:docId w15:val="{0DF58EB9-3696-4449-877A-BE0259CE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A3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000000" w:themeColor="text1"/>
      <w:sz w:val="20"/>
      <w:szCs w:val="20"/>
    </w:rPr>
  </w:style>
  <w:style w:type="character" w:styleId="Strong">
    <w:name w:val="Strong"/>
    <w:basedOn w:val="DefaultParagraphFont"/>
    <w:uiPriority w:val="22"/>
    <w:qFormat/>
    <w:rsid w:val="002F42F0"/>
    <w:rPr>
      <w:b/>
      <w:bCs/>
    </w:rPr>
  </w:style>
  <w:style w:type="character" w:customStyle="1" w:styleId="apple-converted-space">
    <w:name w:val="apple-converted-space"/>
    <w:basedOn w:val="DefaultParagraphFont"/>
    <w:rsid w:val="001B2F5E"/>
  </w:style>
  <w:style w:type="character" w:styleId="Emphasis">
    <w:name w:val="Emphasis"/>
    <w:basedOn w:val="DefaultParagraphFont"/>
    <w:uiPriority w:val="20"/>
    <w:qFormat/>
    <w:rsid w:val="001B2F5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30FA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000000" w:themeColor="text1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30FAB"/>
    <w:rPr>
      <w:rFonts w:eastAsiaTheme="minorEastAsia"/>
      <w:color w:val="000000" w:themeColor="tex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30FA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000000" w:themeColor="text1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30FAB"/>
    <w:rPr>
      <w:rFonts w:eastAsiaTheme="minorEastAsia"/>
      <w:color w:val="000000" w:themeColor="text1"/>
      <w:sz w:val="20"/>
      <w:szCs w:val="20"/>
    </w:rPr>
  </w:style>
  <w:style w:type="paragraph" w:styleId="NormalWeb">
    <w:name w:val="Normal (Web)"/>
    <w:basedOn w:val="Normal"/>
    <w:uiPriority w:val="99"/>
    <w:unhideWhenUsed/>
    <w:rsid w:val="006A0F4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D2AE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0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5E114-9C60-D649-9AE7-AF43D13F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Smalley</dc:creator>
  <cp:keywords/>
  <dc:description/>
  <cp:lastModifiedBy>Steven Smalley</cp:lastModifiedBy>
  <cp:revision>2</cp:revision>
  <cp:lastPrinted>2020-03-09T20:18:00Z</cp:lastPrinted>
  <dcterms:created xsi:type="dcterms:W3CDTF">2022-02-07T16:11:00Z</dcterms:created>
  <dcterms:modified xsi:type="dcterms:W3CDTF">2022-02-07T16:11:00Z</dcterms:modified>
</cp:coreProperties>
</file>